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D9D1" w14:textId="019F3801" w:rsidR="007031FA" w:rsidRPr="007031FA" w:rsidRDefault="005426E6" w:rsidP="00B37F0B">
      <w:pPr>
        <w:spacing w:line="360" w:lineRule="auto"/>
        <w:ind w:right="-10"/>
        <w:jc w:val="center"/>
        <w:rPr>
          <w:b/>
          <w:sz w:val="24"/>
          <w:szCs w:val="24"/>
        </w:rPr>
      </w:pPr>
      <w:r w:rsidRPr="007031FA">
        <w:rPr>
          <w:b/>
          <w:sz w:val="24"/>
          <w:szCs w:val="24"/>
        </w:rPr>
        <w:t xml:space="preserve">CHARTER </w:t>
      </w:r>
      <w:r w:rsidR="007031FA" w:rsidRPr="007031FA">
        <w:rPr>
          <w:b/>
          <w:sz w:val="24"/>
          <w:szCs w:val="24"/>
        </w:rPr>
        <w:t xml:space="preserve">OF </w:t>
      </w:r>
    </w:p>
    <w:p w14:paraId="44618F4C" w14:textId="6758DB46" w:rsidR="00165323" w:rsidRPr="007031FA" w:rsidRDefault="007031FA" w:rsidP="00B37F0B">
      <w:pPr>
        <w:spacing w:line="360" w:lineRule="auto"/>
        <w:ind w:right="-10"/>
        <w:jc w:val="center"/>
        <w:rPr>
          <w:b/>
          <w:sz w:val="24"/>
          <w:szCs w:val="24"/>
        </w:rPr>
      </w:pPr>
      <w:r w:rsidRPr="007031FA">
        <w:rPr>
          <w:b/>
          <w:sz w:val="24"/>
          <w:szCs w:val="24"/>
        </w:rPr>
        <w:t xml:space="preserve">THE </w:t>
      </w:r>
      <w:r w:rsidR="005426E6" w:rsidRPr="007031FA">
        <w:rPr>
          <w:b/>
          <w:sz w:val="24"/>
          <w:szCs w:val="24"/>
        </w:rPr>
        <w:t>COMPENSATION COMMITTEE</w:t>
      </w:r>
    </w:p>
    <w:p w14:paraId="0D3C5340" w14:textId="77777777" w:rsidR="007031FA" w:rsidRPr="007031FA" w:rsidRDefault="005426E6" w:rsidP="00B37F0B">
      <w:pPr>
        <w:spacing w:line="360" w:lineRule="auto"/>
        <w:ind w:right="-10"/>
        <w:jc w:val="center"/>
        <w:rPr>
          <w:b/>
          <w:sz w:val="24"/>
          <w:szCs w:val="24"/>
        </w:rPr>
      </w:pPr>
      <w:r w:rsidRPr="007031FA">
        <w:rPr>
          <w:b/>
          <w:sz w:val="24"/>
          <w:szCs w:val="24"/>
        </w:rPr>
        <w:t xml:space="preserve">OF THE BOARD OF DIRECTORS OF </w:t>
      </w:r>
    </w:p>
    <w:p w14:paraId="6DC3352B" w14:textId="56E0E84A" w:rsidR="00165323" w:rsidRPr="007031FA" w:rsidRDefault="005426E6" w:rsidP="00B37F0B">
      <w:pPr>
        <w:spacing w:line="360" w:lineRule="auto"/>
        <w:ind w:right="-10"/>
        <w:jc w:val="center"/>
        <w:rPr>
          <w:b/>
          <w:sz w:val="24"/>
          <w:szCs w:val="24"/>
        </w:rPr>
      </w:pPr>
      <w:r w:rsidRPr="007031FA">
        <w:rPr>
          <w:b/>
          <w:sz w:val="24"/>
          <w:szCs w:val="24"/>
        </w:rPr>
        <w:t>THE AES CORPORATION</w:t>
      </w:r>
    </w:p>
    <w:p w14:paraId="74DB954C" w14:textId="19A6E729" w:rsidR="00165323" w:rsidRPr="0042219B" w:rsidRDefault="007031FA" w:rsidP="00B37F0B">
      <w:pPr>
        <w:spacing w:line="360" w:lineRule="auto"/>
        <w:ind w:right="-10"/>
        <w:jc w:val="center"/>
        <w:rPr>
          <w:b/>
          <w:sz w:val="24"/>
          <w:szCs w:val="24"/>
          <w:u w:val="single"/>
        </w:rPr>
      </w:pPr>
      <w:r w:rsidRPr="0042219B">
        <w:rPr>
          <w:b/>
          <w:sz w:val="24"/>
          <w:szCs w:val="24"/>
          <w:u w:val="single"/>
        </w:rPr>
        <w:t xml:space="preserve">December </w:t>
      </w:r>
      <w:r w:rsidR="005426E6" w:rsidRPr="0042219B">
        <w:rPr>
          <w:b/>
          <w:sz w:val="24"/>
          <w:szCs w:val="24"/>
          <w:u w:val="single"/>
        </w:rPr>
        <w:t>202</w:t>
      </w:r>
      <w:r w:rsidR="00C30885">
        <w:rPr>
          <w:b/>
          <w:sz w:val="24"/>
          <w:szCs w:val="24"/>
          <w:u w:val="single"/>
        </w:rPr>
        <w:t>5</w:t>
      </w:r>
    </w:p>
    <w:p w14:paraId="26FB8D5B" w14:textId="77777777" w:rsidR="00165323" w:rsidRDefault="00165323">
      <w:pPr>
        <w:pStyle w:val="BodyText"/>
        <w:spacing w:before="5"/>
        <w:rPr>
          <w:b/>
        </w:rPr>
      </w:pPr>
    </w:p>
    <w:p w14:paraId="1B6AA292" w14:textId="77777777" w:rsidR="00165323" w:rsidRDefault="005426E6">
      <w:pPr>
        <w:pStyle w:val="Heading1"/>
        <w:numPr>
          <w:ilvl w:val="0"/>
          <w:numId w:val="4"/>
        </w:numPr>
        <w:tabs>
          <w:tab w:val="left" w:pos="839"/>
          <w:tab w:val="left" w:pos="840"/>
        </w:tabs>
        <w:spacing w:before="90"/>
        <w:ind w:hanging="721"/>
      </w:pPr>
      <w:bookmarkStart w:id="0" w:name="I._PURPOSE_OF_THE_COMMITTEE"/>
      <w:bookmarkEnd w:id="0"/>
      <w:r>
        <w:t>PURPOSE OF THE COMMITTEE</w:t>
      </w:r>
    </w:p>
    <w:p w14:paraId="64EB6B97" w14:textId="77777777" w:rsidR="00165323" w:rsidRDefault="00165323">
      <w:pPr>
        <w:pStyle w:val="BodyText"/>
        <w:rPr>
          <w:b/>
        </w:rPr>
      </w:pPr>
    </w:p>
    <w:p w14:paraId="368B74AB" w14:textId="0B1BE04B" w:rsidR="00165323" w:rsidRDefault="005426E6">
      <w:pPr>
        <w:pStyle w:val="BodyText"/>
        <w:spacing w:before="0"/>
        <w:ind w:left="119" w:right="219" w:firstLine="720"/>
        <w:jc w:val="both"/>
      </w:pPr>
      <w:r>
        <w:t>The purposes of the Compensation Committee (the “Committee”) of the Board of Directors (the “Board”) of The AES Corporation (the “Company”) shall be to oversee the Company’s compensation and employee benefit plans and practices, including its executive compensation plans and its incentive-compensation and equity-based plans; annually review the Chief Executive Officer’s and other executive officers’</w:t>
      </w:r>
      <w:r>
        <w:rPr>
          <w:rStyle w:val="FootnoteReference"/>
        </w:rPr>
        <w:footnoteReference w:id="1"/>
      </w:r>
      <w:hyperlink w:anchor="_bookmark0" w:history="1">
        <w:r>
          <w:t xml:space="preserve"> </w:t>
        </w:r>
      </w:hyperlink>
      <w:r>
        <w:t>compensation; review and approve succession planning for the Company; and produce an annual report on executive compensation for inclusion in the Company’s annual Proxy Statement, in accordance with applicable rules and regulations.</w:t>
      </w:r>
    </w:p>
    <w:p w14:paraId="1F07A4C8" w14:textId="77777777" w:rsidR="00165323" w:rsidRDefault="00165323">
      <w:pPr>
        <w:pStyle w:val="BodyText"/>
      </w:pPr>
    </w:p>
    <w:p w14:paraId="03494C46" w14:textId="77777777" w:rsidR="00165323" w:rsidRDefault="005426E6">
      <w:pPr>
        <w:pStyle w:val="Heading1"/>
        <w:numPr>
          <w:ilvl w:val="0"/>
          <w:numId w:val="4"/>
        </w:numPr>
        <w:tabs>
          <w:tab w:val="left" w:pos="839"/>
          <w:tab w:val="left" w:pos="840"/>
        </w:tabs>
        <w:ind w:hanging="721"/>
      </w:pPr>
      <w:bookmarkStart w:id="1" w:name="II._COMPOSITION_OF_THE_COMMITTEE"/>
      <w:bookmarkEnd w:id="1"/>
      <w:r>
        <w:t>COMPOSITION OF THE COMMITTEE</w:t>
      </w:r>
    </w:p>
    <w:p w14:paraId="2DFFD513" w14:textId="77777777" w:rsidR="00165323" w:rsidRDefault="00165323">
      <w:pPr>
        <w:pStyle w:val="BodyText"/>
        <w:spacing w:before="8"/>
        <w:rPr>
          <w:b/>
        </w:rPr>
      </w:pPr>
    </w:p>
    <w:p w14:paraId="4A9E03DC" w14:textId="62967BBA" w:rsidR="00165323" w:rsidRDefault="005426E6">
      <w:pPr>
        <w:pStyle w:val="BodyText"/>
        <w:spacing w:before="0"/>
        <w:ind w:left="119" w:right="217" w:firstLine="720"/>
        <w:jc w:val="both"/>
      </w:pPr>
      <w:r>
        <w:t>The Committee shall be comprised of three or more directors who qualify as independent directors (“Independent Directors”) under the listing standards of the New York Stock Exchange (the “NYSE”), including after consideration of specific factors applicable to members of the Committee. Members of the Committee are intended to qualify as “non-employee directors” within the meaning of Rule 16b-3 promulgated under Section 16(b) of the Exchange Act and shall satisfy any other necessary standards of independence under the federal securities and tax laws; provided, however, that a failure to meet any such requirements shall not invalidate decisions made, or actions taken, by the Committee.</w:t>
      </w:r>
    </w:p>
    <w:p w14:paraId="2B06E41E" w14:textId="77777777" w:rsidR="00165323" w:rsidRDefault="005426E6">
      <w:pPr>
        <w:pStyle w:val="BodyText"/>
        <w:spacing w:before="233"/>
        <w:ind w:left="119" w:right="219" w:firstLine="720"/>
        <w:jc w:val="both"/>
      </w:pPr>
      <w:r>
        <w:t>The Governance Committee of the Company shall recommend nominees for appointment to the Committee annually and as vacancies or newly created positions occur. Committee members shall be appointed by the Board annually and may be removed by the Board at any time. The Board shall designate the Chairperson of the Committee. No member of the Committee shall be removed except by majority vote of the Board.</w:t>
      </w:r>
    </w:p>
    <w:p w14:paraId="426A1A88" w14:textId="77777777" w:rsidR="00165323" w:rsidRDefault="00165323">
      <w:pPr>
        <w:pStyle w:val="BodyText"/>
      </w:pPr>
    </w:p>
    <w:p w14:paraId="7B889FC1" w14:textId="77777777" w:rsidR="00165323" w:rsidRDefault="005426E6">
      <w:pPr>
        <w:pStyle w:val="Heading1"/>
        <w:numPr>
          <w:ilvl w:val="0"/>
          <w:numId w:val="4"/>
        </w:numPr>
        <w:tabs>
          <w:tab w:val="left" w:pos="839"/>
          <w:tab w:val="left" w:pos="840"/>
        </w:tabs>
        <w:ind w:hanging="721"/>
      </w:pPr>
      <w:bookmarkStart w:id="2" w:name="III._MEETINGS_AND_PROCEDURES_OF_THE_COMM"/>
      <w:bookmarkEnd w:id="2"/>
      <w:r>
        <w:t>MEETINGS AND PROCEDURES OF THE COMMITTEE</w:t>
      </w:r>
    </w:p>
    <w:p w14:paraId="4365B2D6" w14:textId="77777777" w:rsidR="00165323" w:rsidRDefault="00165323">
      <w:pPr>
        <w:pStyle w:val="BodyText"/>
        <w:rPr>
          <w:b/>
        </w:rPr>
      </w:pPr>
    </w:p>
    <w:p w14:paraId="2F8AA22C" w14:textId="77777777" w:rsidR="00165323" w:rsidRDefault="005426E6">
      <w:pPr>
        <w:pStyle w:val="BodyText"/>
        <w:spacing w:before="0"/>
        <w:ind w:left="119" w:right="219" w:firstLine="720"/>
        <w:jc w:val="both"/>
      </w:pPr>
      <w:r>
        <w:t xml:space="preserve">The Committee shall fix its own rules of procedure, which shall be consistent with the Amended and Restated By-Laws of the Company and this Charter. The Committee shall meet as provided by its rules, which shall be at least four times annually or more frequently as circumstances require. The Chairperson will chair all regular sessions of the Committee. The Chairperson of the Committee or a majority of the members of the Committee may also call a special meeting of the Committee. A majority of the members of the Committee present in person or by means of a </w:t>
      </w:r>
      <w:r>
        <w:lastRenderedPageBreak/>
        <w:t>conference telephone or other communications equipment by means of which all persons participating in the meeting can hear each other shall constitute a quorum.</w:t>
      </w:r>
    </w:p>
    <w:p w14:paraId="747C3112" w14:textId="77777777" w:rsidR="00165323" w:rsidRDefault="00165323">
      <w:pPr>
        <w:pStyle w:val="BodyText"/>
      </w:pPr>
    </w:p>
    <w:p w14:paraId="5B737D7E" w14:textId="77777777" w:rsidR="00165323" w:rsidRDefault="005426E6">
      <w:pPr>
        <w:pStyle w:val="BodyText"/>
        <w:spacing w:before="0"/>
        <w:ind w:left="119" w:right="220" w:firstLine="720"/>
        <w:jc w:val="both"/>
      </w:pPr>
      <w:r>
        <w:t xml:space="preserve">The Committee may form subcommittees for any purpose that the Committee deems appropriate and may delegate to such subcommittees, other Board members, and/or officers such power and authority as the Committee deems appropriate; </w:t>
      </w:r>
      <w:r>
        <w:rPr>
          <w:i/>
        </w:rPr>
        <w:t>provided, however</w:t>
      </w:r>
      <w:r>
        <w:t>, that the Committee shall not delegate to a subcommittee, other Board members, and/ or officers any power or authority required by any law, regulation or listing standard to be exercised by the Committee as a whole.</w:t>
      </w:r>
    </w:p>
    <w:p w14:paraId="78A231A6" w14:textId="77777777" w:rsidR="00165323" w:rsidRDefault="00165323">
      <w:pPr>
        <w:pStyle w:val="BodyText"/>
      </w:pPr>
    </w:p>
    <w:p w14:paraId="01579635" w14:textId="77777777" w:rsidR="00165323" w:rsidRDefault="005426E6">
      <w:pPr>
        <w:pStyle w:val="BodyText"/>
        <w:spacing w:before="0"/>
        <w:ind w:left="119" w:right="226" w:firstLine="720"/>
        <w:jc w:val="both"/>
      </w:pPr>
      <w:r>
        <w:t>The Committee may request that any directors, officers or employees of the Company, or other persons whose advice and counsel are sought by the Committee, attend any meeting of the Committee to provide such pertinent information as the Committee requests.</w:t>
      </w:r>
    </w:p>
    <w:p w14:paraId="182A2E1F" w14:textId="77777777" w:rsidR="00165323" w:rsidRDefault="00165323">
      <w:pPr>
        <w:pStyle w:val="BodyText"/>
      </w:pPr>
    </w:p>
    <w:p w14:paraId="25381DF3" w14:textId="77777777" w:rsidR="00165323" w:rsidRDefault="005426E6">
      <w:pPr>
        <w:pStyle w:val="BodyText"/>
        <w:spacing w:before="0"/>
        <w:ind w:left="119" w:right="224" w:firstLine="720"/>
        <w:jc w:val="both"/>
      </w:pPr>
      <w:r>
        <w:t>Following each of its meetings, the Committee shall deliver a report on the meeting to the Board, including a description of all actions taken by the Committee at the meeting. The Committee shall keep written minutes of its meetings, which minutes shall be maintained with the books and records of the Company.</w:t>
      </w:r>
    </w:p>
    <w:p w14:paraId="74E1CB94" w14:textId="77777777" w:rsidR="00165323" w:rsidRDefault="00165323">
      <w:pPr>
        <w:pStyle w:val="BodyText"/>
      </w:pPr>
    </w:p>
    <w:p w14:paraId="154BDC39" w14:textId="77777777" w:rsidR="00165323" w:rsidRDefault="005426E6">
      <w:pPr>
        <w:pStyle w:val="Heading1"/>
        <w:numPr>
          <w:ilvl w:val="0"/>
          <w:numId w:val="4"/>
        </w:numPr>
        <w:tabs>
          <w:tab w:val="left" w:pos="839"/>
          <w:tab w:val="left" w:pos="840"/>
        </w:tabs>
        <w:ind w:hanging="721"/>
      </w:pPr>
      <w:bookmarkStart w:id="3" w:name="IV._COMMITTEE_RESPONSIBILITIES"/>
      <w:bookmarkEnd w:id="3"/>
      <w:r>
        <w:t>COMMITTEE RESPONSIBILITIES</w:t>
      </w:r>
    </w:p>
    <w:p w14:paraId="1A4C44B6" w14:textId="77777777" w:rsidR="00165323" w:rsidRDefault="00165323">
      <w:pPr>
        <w:pStyle w:val="BodyText"/>
        <w:rPr>
          <w:b/>
        </w:rPr>
      </w:pPr>
    </w:p>
    <w:p w14:paraId="7AF4B0F6" w14:textId="77777777" w:rsidR="00165323" w:rsidRDefault="005426E6">
      <w:pPr>
        <w:pStyle w:val="Heading2"/>
        <w:numPr>
          <w:ilvl w:val="1"/>
          <w:numId w:val="4"/>
        </w:numPr>
        <w:tabs>
          <w:tab w:val="left" w:pos="1200"/>
        </w:tabs>
        <w:ind w:hanging="361"/>
      </w:pPr>
      <w:bookmarkStart w:id="4" w:name="A._Executive_Compensation"/>
      <w:bookmarkEnd w:id="4"/>
      <w:r>
        <w:t>Executive Compensation</w:t>
      </w:r>
    </w:p>
    <w:p w14:paraId="1835CC13" w14:textId="77777777" w:rsidR="00165323" w:rsidRDefault="00165323">
      <w:pPr>
        <w:pStyle w:val="BodyText"/>
        <w:rPr>
          <w:b/>
        </w:rPr>
      </w:pPr>
    </w:p>
    <w:p w14:paraId="62E2AE5F" w14:textId="77777777" w:rsidR="00165323" w:rsidRDefault="005426E6">
      <w:pPr>
        <w:pStyle w:val="BodyText"/>
        <w:spacing w:before="0"/>
        <w:ind w:left="119" w:right="101" w:firstLine="720"/>
        <w:jc w:val="both"/>
      </w:pPr>
      <w:r>
        <w:t>The Committee shall have the following goals and responsibilities with respect to the Company’s executive compensation plans:</w:t>
      </w:r>
    </w:p>
    <w:p w14:paraId="2D485891" w14:textId="77777777" w:rsidR="00165323" w:rsidRDefault="00165323">
      <w:pPr>
        <w:pStyle w:val="BodyText"/>
      </w:pPr>
    </w:p>
    <w:p w14:paraId="4B7A7549" w14:textId="77777777" w:rsidR="00165323" w:rsidRDefault="005426E6">
      <w:pPr>
        <w:pStyle w:val="ListParagraph"/>
        <w:numPr>
          <w:ilvl w:val="0"/>
          <w:numId w:val="3"/>
        </w:numPr>
        <w:tabs>
          <w:tab w:val="left" w:pos="1560"/>
        </w:tabs>
        <w:ind w:right="101" w:firstLine="720"/>
        <w:rPr>
          <w:sz w:val="24"/>
          <w:szCs w:val="24"/>
        </w:rPr>
      </w:pPr>
      <w:bookmarkStart w:id="5" w:name="(a)_To_review_and_approve_at_least_annua"/>
      <w:bookmarkEnd w:id="5"/>
      <w:r>
        <w:rPr>
          <w:sz w:val="24"/>
          <w:szCs w:val="24"/>
        </w:rPr>
        <w:t>To review and approve at least annually the corporate goals and objectives relevant to the compensation of the Chief Executive Officer and the Company’s executive compensation plans in light of the Company’s stated strategy goal(s), and recommend that the Board amend these goals and objectives if the Committee deems it appropriate.</w:t>
      </w:r>
    </w:p>
    <w:p w14:paraId="33F25DB8" w14:textId="77777777" w:rsidR="00165323" w:rsidRDefault="00165323">
      <w:pPr>
        <w:pStyle w:val="BodyText"/>
      </w:pPr>
    </w:p>
    <w:p w14:paraId="74021A68" w14:textId="77777777" w:rsidR="00165323" w:rsidRDefault="005426E6">
      <w:pPr>
        <w:pStyle w:val="ListParagraph"/>
        <w:numPr>
          <w:ilvl w:val="0"/>
          <w:numId w:val="3"/>
        </w:numPr>
        <w:tabs>
          <w:tab w:val="left" w:pos="1560"/>
        </w:tabs>
        <w:spacing w:before="1"/>
        <w:ind w:right="102" w:firstLine="720"/>
        <w:rPr>
          <w:sz w:val="24"/>
          <w:szCs w:val="24"/>
        </w:rPr>
      </w:pPr>
      <w:bookmarkStart w:id="6" w:name="(b)_To_review_at_least_annually_the_impl"/>
      <w:bookmarkEnd w:id="6"/>
      <w:r>
        <w:rPr>
          <w:sz w:val="24"/>
          <w:szCs w:val="24"/>
        </w:rPr>
        <w:t>To review at least annually the implementation of the Company’s executive compensation plans in light of the Company’s goals and objectives with respect to such plans, and, if the Committee deems it appropriate, recommend to the Board the adoption of new, or the amendment of existing, executive compensation plans.</w:t>
      </w:r>
    </w:p>
    <w:p w14:paraId="0FBBFB53" w14:textId="77777777" w:rsidR="00165323" w:rsidRDefault="00165323">
      <w:pPr>
        <w:pStyle w:val="BodyText"/>
      </w:pPr>
    </w:p>
    <w:p w14:paraId="39A5563A" w14:textId="7DE87AF3" w:rsidR="00165323" w:rsidRDefault="005426E6">
      <w:pPr>
        <w:pStyle w:val="ListParagraph"/>
        <w:numPr>
          <w:ilvl w:val="0"/>
          <w:numId w:val="3"/>
        </w:numPr>
        <w:tabs>
          <w:tab w:val="left" w:pos="1560"/>
        </w:tabs>
        <w:ind w:right="101" w:firstLine="720"/>
        <w:rPr>
          <w:sz w:val="24"/>
          <w:szCs w:val="24"/>
        </w:rPr>
      </w:pPr>
      <w:bookmarkStart w:id="7" w:name="(c)_To_evaluate_annually_the_performance"/>
      <w:bookmarkEnd w:id="7"/>
      <w:r>
        <w:rPr>
          <w:sz w:val="24"/>
          <w:szCs w:val="24"/>
        </w:rPr>
        <w:t xml:space="preserve">To evaluate annually the performance of the Chief Executive Officer and generate an evaluation of the Chief Executive Officer’s performance to be presented to the </w:t>
      </w:r>
      <w:r w:rsidR="006B1600">
        <w:rPr>
          <w:sz w:val="24"/>
          <w:szCs w:val="24"/>
        </w:rPr>
        <w:t xml:space="preserve">independent </w:t>
      </w:r>
      <w:r>
        <w:rPr>
          <w:sz w:val="24"/>
          <w:szCs w:val="24"/>
        </w:rPr>
        <w:t xml:space="preserve">directors in executive session by the first regularly scheduled meeting of the Board each fiscal year. Based on this evaluation (in light of previously approved goals and objectives), the Committee will then determine and approve a recommendation for the Chief Executive Officer’s compensation level and present its evaluation and compensation recommendation to the </w:t>
      </w:r>
      <w:r w:rsidR="006B1600">
        <w:rPr>
          <w:sz w:val="24"/>
          <w:szCs w:val="24"/>
        </w:rPr>
        <w:t>independent</w:t>
      </w:r>
      <w:r>
        <w:rPr>
          <w:sz w:val="24"/>
          <w:szCs w:val="24"/>
        </w:rPr>
        <w:t xml:space="preserve"> directors in executive session by the first regularly scheduled meeting of the Board each fiscal year for their approval. In determining the long-term incentive component of the Chief Executive Officer’s compensation, the Committee shall consider all relevant factors, including the Company’s performance and relative stockholder return, the value of similar awards to chief executive officers of comparable companies, and the awards given to the Chief Executive Officer of the Company in past years.</w:t>
      </w:r>
    </w:p>
    <w:p w14:paraId="16E9B5F5" w14:textId="77777777" w:rsidR="00165323" w:rsidRDefault="00165323">
      <w:pPr>
        <w:pStyle w:val="BodyText"/>
      </w:pPr>
    </w:p>
    <w:p w14:paraId="1EF6250A" w14:textId="77777777" w:rsidR="00165323" w:rsidRDefault="005426E6">
      <w:pPr>
        <w:pStyle w:val="ListParagraph"/>
        <w:numPr>
          <w:ilvl w:val="0"/>
          <w:numId w:val="3"/>
        </w:numPr>
        <w:tabs>
          <w:tab w:val="left" w:pos="1560"/>
        </w:tabs>
        <w:ind w:right="100" w:firstLine="720"/>
        <w:rPr>
          <w:sz w:val="24"/>
          <w:szCs w:val="24"/>
        </w:rPr>
      </w:pPr>
      <w:bookmarkStart w:id="8" w:name="(d)_To_evaluate_annually_the_performance"/>
      <w:bookmarkEnd w:id="8"/>
      <w:r>
        <w:rPr>
          <w:sz w:val="24"/>
          <w:szCs w:val="24"/>
        </w:rPr>
        <w:lastRenderedPageBreak/>
        <w:t>To evaluate annually the performance of the executive officers of the Company and recommend a compensation level of each based on this evaluation. In preparing such evaluation and recommendation, the Chief Executive Officer will present an evaluation and compensation recommendation for each of the executive officers to the Committee. The Committee will then review each of the evaluations and compensation recommendations by the Chief Executive Officer, make any adjustments the Committee deems appropriate, and then present the compensation recommendations to the Board for approval. To the extent that long-term incentive compensation is a component of such executive officer’s compensation, the Committee shall consider all relevant factors in determining the appropriate level of such compensation, including at least the factors applicable with respect to the Chief Executive Officer.</w:t>
      </w:r>
    </w:p>
    <w:p w14:paraId="41B23B91" w14:textId="77777777" w:rsidR="00165323" w:rsidRDefault="00165323">
      <w:pPr>
        <w:pStyle w:val="BodyText"/>
      </w:pPr>
      <w:bookmarkStart w:id="9" w:name="(e)_The_Executive_Leadership_Team_will_h"/>
      <w:bookmarkEnd w:id="9"/>
    </w:p>
    <w:p w14:paraId="6DA3F161" w14:textId="77777777" w:rsidR="00165323" w:rsidRDefault="005426E6">
      <w:pPr>
        <w:pStyle w:val="ListParagraph"/>
        <w:numPr>
          <w:ilvl w:val="0"/>
          <w:numId w:val="3"/>
        </w:numPr>
        <w:tabs>
          <w:tab w:val="left" w:pos="1560"/>
        </w:tabs>
        <w:ind w:right="101" w:firstLine="720"/>
        <w:rPr>
          <w:sz w:val="24"/>
          <w:szCs w:val="24"/>
        </w:rPr>
      </w:pPr>
      <w:bookmarkStart w:id="10" w:name="(f)_To_discuss_and_review_annually_a_sho"/>
      <w:bookmarkEnd w:id="10"/>
      <w:r>
        <w:rPr>
          <w:sz w:val="24"/>
          <w:szCs w:val="24"/>
        </w:rPr>
        <w:t>To discuss and review annually a short-term succession plan that delineates a temporary delegation of authority to certain officers of the Company if all, or a portion, of the Company’s executive officers and other senior officers should unexpectedly become unable to perform their duties.</w:t>
      </w:r>
    </w:p>
    <w:p w14:paraId="45700FEC" w14:textId="77777777" w:rsidR="00165323" w:rsidRDefault="00165323">
      <w:pPr>
        <w:pStyle w:val="BodyText"/>
      </w:pPr>
    </w:p>
    <w:p w14:paraId="771FA9F9" w14:textId="77777777" w:rsidR="00165323" w:rsidRDefault="005426E6">
      <w:pPr>
        <w:pStyle w:val="ListParagraph"/>
        <w:numPr>
          <w:ilvl w:val="0"/>
          <w:numId w:val="3"/>
        </w:numPr>
        <w:tabs>
          <w:tab w:val="left" w:pos="1560"/>
        </w:tabs>
        <w:ind w:right="102" w:firstLine="720"/>
        <w:rPr>
          <w:sz w:val="24"/>
          <w:szCs w:val="24"/>
        </w:rPr>
      </w:pPr>
      <w:bookmarkStart w:id="11" w:name="(g)_To_discuss_and_review_the_Company’s_"/>
      <w:bookmarkEnd w:id="11"/>
      <w:r>
        <w:rPr>
          <w:sz w:val="24"/>
          <w:szCs w:val="24"/>
        </w:rPr>
        <w:t>To discuss and review the Company’s long-term executive development program to assist in the development of management for succession to the position of the Chief Executive Officer and other senior management positions.</w:t>
      </w:r>
    </w:p>
    <w:p w14:paraId="14C89C1D" w14:textId="77777777" w:rsidR="00165323" w:rsidRDefault="00165323">
      <w:pPr>
        <w:pStyle w:val="BodyText"/>
      </w:pPr>
    </w:p>
    <w:p w14:paraId="6F19B250" w14:textId="7120A70C" w:rsidR="00165323" w:rsidRDefault="005426E6">
      <w:pPr>
        <w:pStyle w:val="ListParagraph"/>
        <w:numPr>
          <w:ilvl w:val="0"/>
          <w:numId w:val="3"/>
        </w:numPr>
        <w:tabs>
          <w:tab w:val="left" w:pos="1560"/>
        </w:tabs>
        <w:ind w:right="102" w:firstLine="720"/>
        <w:rPr>
          <w:sz w:val="24"/>
          <w:szCs w:val="24"/>
        </w:rPr>
      </w:pPr>
      <w:bookmarkStart w:id="12" w:name="(h)_To_review_and_approve_any_severance_"/>
      <w:bookmarkEnd w:id="12"/>
      <w:r>
        <w:rPr>
          <w:sz w:val="24"/>
          <w:szCs w:val="24"/>
        </w:rPr>
        <w:t xml:space="preserve">To review and approve any severance or termination arrangements and policies and any employment agreements to be made between the Company and any of its executive officers. </w:t>
      </w:r>
    </w:p>
    <w:p w14:paraId="47DAA697" w14:textId="77777777" w:rsidR="00165323" w:rsidRDefault="00165323">
      <w:pPr>
        <w:pStyle w:val="BodyText"/>
      </w:pPr>
    </w:p>
    <w:p w14:paraId="2A35CEB1" w14:textId="77777777" w:rsidR="00165323" w:rsidRDefault="005426E6">
      <w:pPr>
        <w:pStyle w:val="ListParagraph"/>
        <w:numPr>
          <w:ilvl w:val="0"/>
          <w:numId w:val="3"/>
        </w:numPr>
        <w:tabs>
          <w:tab w:val="left" w:pos="1560"/>
        </w:tabs>
        <w:spacing w:before="1"/>
        <w:ind w:right="104" w:firstLine="720"/>
        <w:rPr>
          <w:sz w:val="24"/>
          <w:szCs w:val="24"/>
        </w:rPr>
      </w:pPr>
      <w:bookmarkStart w:id="13" w:name="(i)_To_perform_such_duties_and_responsib"/>
      <w:bookmarkEnd w:id="13"/>
      <w:r>
        <w:rPr>
          <w:sz w:val="24"/>
          <w:szCs w:val="24"/>
        </w:rPr>
        <w:t>To perform such duties and responsibilities as may be assigned to the Board or the Committee under the terms of any executive compensation plan.</w:t>
      </w:r>
    </w:p>
    <w:p w14:paraId="6D471BFD" w14:textId="77777777" w:rsidR="00165323" w:rsidRDefault="00165323">
      <w:pPr>
        <w:pStyle w:val="BodyText"/>
        <w:spacing w:before="9"/>
      </w:pPr>
    </w:p>
    <w:p w14:paraId="5C09A1E2" w14:textId="77777777" w:rsidR="00165323" w:rsidRDefault="005426E6">
      <w:pPr>
        <w:pStyle w:val="ListParagraph"/>
        <w:numPr>
          <w:ilvl w:val="0"/>
          <w:numId w:val="3"/>
        </w:numPr>
        <w:tabs>
          <w:tab w:val="left" w:pos="1560"/>
        </w:tabs>
        <w:spacing w:before="1"/>
        <w:ind w:right="105" w:firstLine="720"/>
        <w:rPr>
          <w:sz w:val="24"/>
          <w:szCs w:val="24"/>
        </w:rPr>
      </w:pPr>
      <w:bookmarkStart w:id="14" w:name="(j)_To_review_perquisites_or_other_perso"/>
      <w:bookmarkEnd w:id="14"/>
      <w:r>
        <w:rPr>
          <w:sz w:val="24"/>
          <w:szCs w:val="24"/>
        </w:rPr>
        <w:t>To review perquisites or other personal benefits to the Company’s executive officers and recommend any changes to the Board.</w:t>
      </w:r>
    </w:p>
    <w:p w14:paraId="7894475F" w14:textId="77777777" w:rsidR="00165323" w:rsidRDefault="00165323">
      <w:pPr>
        <w:pStyle w:val="BodyText"/>
        <w:spacing w:before="9"/>
      </w:pPr>
    </w:p>
    <w:p w14:paraId="6B82F368" w14:textId="77777777" w:rsidR="00165323" w:rsidRDefault="005426E6">
      <w:pPr>
        <w:pStyle w:val="ListParagraph"/>
        <w:numPr>
          <w:ilvl w:val="0"/>
          <w:numId w:val="3"/>
        </w:numPr>
        <w:tabs>
          <w:tab w:val="left" w:pos="1560"/>
        </w:tabs>
        <w:spacing w:before="1"/>
        <w:ind w:right="103" w:firstLine="720"/>
        <w:rPr>
          <w:sz w:val="24"/>
          <w:szCs w:val="24"/>
        </w:rPr>
      </w:pPr>
      <w:bookmarkStart w:id="15" w:name="(k)_To_review_and_approve_disclosure_reg"/>
      <w:bookmarkEnd w:id="15"/>
      <w:r>
        <w:rPr>
          <w:sz w:val="24"/>
          <w:szCs w:val="24"/>
        </w:rPr>
        <w:t>To review and approve disclosure regarding compensation matters in the Company’s annual Proxy Statement and/or Annual Report on Form 10-K, as applicable.</w:t>
      </w:r>
    </w:p>
    <w:p w14:paraId="19C0CC34" w14:textId="77777777" w:rsidR="00165323" w:rsidRDefault="00165323">
      <w:pPr>
        <w:pStyle w:val="BodyText"/>
      </w:pPr>
    </w:p>
    <w:p w14:paraId="14669E44" w14:textId="77777777" w:rsidR="00165323" w:rsidRDefault="005426E6">
      <w:pPr>
        <w:pStyle w:val="ListParagraph"/>
        <w:numPr>
          <w:ilvl w:val="0"/>
          <w:numId w:val="3"/>
        </w:numPr>
        <w:tabs>
          <w:tab w:val="left" w:pos="1560"/>
        </w:tabs>
        <w:ind w:right="100" w:firstLine="720"/>
        <w:rPr>
          <w:sz w:val="24"/>
          <w:szCs w:val="24"/>
        </w:rPr>
      </w:pPr>
      <w:bookmarkStart w:id="16" w:name="(l)_To_review_and_discuss_the_Compensati"/>
      <w:bookmarkEnd w:id="16"/>
      <w:r>
        <w:rPr>
          <w:sz w:val="24"/>
          <w:szCs w:val="24"/>
        </w:rPr>
        <w:t>To review and discuss the Compensation Discussion and Analysis (“CD&amp;A”) with management prior to its inclusion in the Company’s annual Proxy Statement or Annual Report on Form 10-K, as applicable.</w:t>
      </w:r>
    </w:p>
    <w:p w14:paraId="3FD25318" w14:textId="77777777" w:rsidR="00165323" w:rsidRDefault="00165323">
      <w:pPr>
        <w:pStyle w:val="BodyText"/>
      </w:pPr>
    </w:p>
    <w:p w14:paraId="02CAA8FF" w14:textId="77777777" w:rsidR="00165323" w:rsidRDefault="005426E6">
      <w:pPr>
        <w:pStyle w:val="ListParagraph"/>
        <w:numPr>
          <w:ilvl w:val="0"/>
          <w:numId w:val="3"/>
        </w:numPr>
        <w:tabs>
          <w:tab w:val="left" w:pos="1560"/>
        </w:tabs>
        <w:ind w:right="100" w:firstLine="720"/>
        <w:rPr>
          <w:sz w:val="24"/>
          <w:szCs w:val="24"/>
        </w:rPr>
      </w:pPr>
      <w:bookmarkStart w:id="17" w:name="(m)_To_produce_an_annual_report_stating_"/>
      <w:bookmarkEnd w:id="17"/>
      <w:r>
        <w:rPr>
          <w:sz w:val="24"/>
          <w:szCs w:val="24"/>
        </w:rPr>
        <w:t>To produce an annual report stating that the Committee has reviewed the CD&amp;A with management and whether the Committee recommends to the Board its inclusion in the Company’s annual Proxy Statement.</w:t>
      </w:r>
    </w:p>
    <w:p w14:paraId="33C1F9FB" w14:textId="77777777" w:rsidR="00165323" w:rsidRDefault="00165323">
      <w:pPr>
        <w:pStyle w:val="ListParagraph"/>
        <w:tabs>
          <w:tab w:val="left" w:pos="1560"/>
        </w:tabs>
        <w:ind w:left="839" w:right="100" w:firstLine="0"/>
        <w:jc w:val="left"/>
        <w:rPr>
          <w:sz w:val="24"/>
          <w:szCs w:val="24"/>
        </w:rPr>
      </w:pPr>
    </w:p>
    <w:p w14:paraId="339FE6A2" w14:textId="0B5B41F5" w:rsidR="00165323" w:rsidRDefault="005426E6">
      <w:pPr>
        <w:pStyle w:val="ListParagraph"/>
        <w:numPr>
          <w:ilvl w:val="0"/>
          <w:numId w:val="3"/>
        </w:numPr>
        <w:tabs>
          <w:tab w:val="left" w:pos="1560"/>
        </w:tabs>
        <w:spacing w:before="79"/>
        <w:ind w:right="102" w:firstLine="720"/>
        <w:rPr>
          <w:sz w:val="24"/>
          <w:szCs w:val="24"/>
        </w:rPr>
      </w:pPr>
      <w:bookmarkStart w:id="18" w:name="(n)_To_review_and_approve_the_creation_o"/>
      <w:bookmarkEnd w:id="18"/>
      <w:r>
        <w:rPr>
          <w:sz w:val="24"/>
          <w:szCs w:val="24"/>
        </w:rPr>
        <w:t>To review and approve the creation or revision of any clawback policy allowing the Company to recoup incentive compensation received by the Company’s executive officers.</w:t>
      </w:r>
    </w:p>
    <w:p w14:paraId="185F942B" w14:textId="77777777" w:rsidR="00165323" w:rsidRDefault="00165323">
      <w:pPr>
        <w:pStyle w:val="BodyText"/>
      </w:pPr>
    </w:p>
    <w:p w14:paraId="25C3FBC2" w14:textId="77777777" w:rsidR="00165323" w:rsidRDefault="005426E6">
      <w:pPr>
        <w:pStyle w:val="ListParagraph"/>
        <w:numPr>
          <w:ilvl w:val="0"/>
          <w:numId w:val="3"/>
        </w:numPr>
        <w:tabs>
          <w:tab w:val="left" w:pos="1560"/>
        </w:tabs>
        <w:ind w:right="106" w:firstLine="720"/>
        <w:rPr>
          <w:sz w:val="24"/>
          <w:szCs w:val="24"/>
        </w:rPr>
      </w:pPr>
      <w:bookmarkStart w:id="19" w:name="(o)_To_review_and_oversee_risk_related_t"/>
      <w:bookmarkEnd w:id="19"/>
      <w:r>
        <w:rPr>
          <w:sz w:val="24"/>
          <w:szCs w:val="24"/>
        </w:rPr>
        <w:t>To review and oversee risk related to compensation practices, including practices related to hiring and retention, succession planning, and training of employees.</w:t>
      </w:r>
    </w:p>
    <w:p w14:paraId="6A9DF58D" w14:textId="77777777" w:rsidR="00165323" w:rsidRDefault="00165323">
      <w:pPr>
        <w:pStyle w:val="BodyText"/>
      </w:pPr>
    </w:p>
    <w:p w14:paraId="48E20547" w14:textId="77777777" w:rsidR="00165323" w:rsidRDefault="005426E6">
      <w:pPr>
        <w:pStyle w:val="ListParagraph"/>
        <w:numPr>
          <w:ilvl w:val="0"/>
          <w:numId w:val="3"/>
        </w:numPr>
        <w:tabs>
          <w:tab w:val="left" w:pos="1560"/>
        </w:tabs>
        <w:ind w:right="102" w:firstLine="720"/>
        <w:rPr>
          <w:sz w:val="24"/>
          <w:szCs w:val="24"/>
        </w:rPr>
      </w:pPr>
      <w:bookmarkStart w:id="20" w:name="(p)_To_review_and_consider_the_results_o"/>
      <w:bookmarkEnd w:id="20"/>
      <w:r>
        <w:rPr>
          <w:sz w:val="24"/>
          <w:szCs w:val="24"/>
        </w:rPr>
        <w:t>To review and consider the results of advisory votes of stockholders regarding the Company’s compensation policies and practices as described in the Company’s annual Proxy Statement, including annual Say-on-Pay and Say-on-Frequency votes.</w:t>
      </w:r>
    </w:p>
    <w:p w14:paraId="21F15394" w14:textId="77777777" w:rsidR="00165323" w:rsidRDefault="00165323">
      <w:pPr>
        <w:pStyle w:val="BodyText"/>
      </w:pPr>
    </w:p>
    <w:p w14:paraId="422025FD" w14:textId="77777777" w:rsidR="00165323" w:rsidRDefault="005426E6">
      <w:pPr>
        <w:pStyle w:val="ListParagraph"/>
        <w:numPr>
          <w:ilvl w:val="0"/>
          <w:numId w:val="3"/>
        </w:numPr>
        <w:tabs>
          <w:tab w:val="left" w:pos="1559"/>
          <w:tab w:val="left" w:pos="1560"/>
        </w:tabs>
        <w:ind w:left="1559" w:hanging="721"/>
        <w:rPr>
          <w:sz w:val="24"/>
          <w:szCs w:val="24"/>
        </w:rPr>
      </w:pPr>
      <w:bookmarkStart w:id="21" w:name="(q)_Any_other_compensation_matters_as_fr"/>
      <w:bookmarkEnd w:id="21"/>
      <w:r>
        <w:rPr>
          <w:sz w:val="24"/>
          <w:szCs w:val="24"/>
        </w:rPr>
        <w:t>Any other compensation matters as from time to time may be directed by the Board.</w:t>
      </w:r>
    </w:p>
    <w:p w14:paraId="665E30DA" w14:textId="77777777" w:rsidR="00165323" w:rsidRDefault="00165323">
      <w:pPr>
        <w:pStyle w:val="BodyText"/>
      </w:pPr>
    </w:p>
    <w:p w14:paraId="46850226" w14:textId="679BC790" w:rsidR="00165323" w:rsidRDefault="005426E6">
      <w:pPr>
        <w:pStyle w:val="Heading2"/>
        <w:numPr>
          <w:ilvl w:val="1"/>
          <w:numId w:val="4"/>
        </w:numPr>
        <w:tabs>
          <w:tab w:val="left" w:pos="1200"/>
        </w:tabs>
        <w:ind w:hanging="361"/>
      </w:pPr>
      <w:bookmarkStart w:id="22" w:name="B._Incentive-Compensation_and_Equity-Bas"/>
      <w:bookmarkEnd w:id="22"/>
      <w:r>
        <w:t>Incentive Compensation and Equity-Based Plans</w:t>
      </w:r>
    </w:p>
    <w:p w14:paraId="77B0354E" w14:textId="77777777" w:rsidR="00165323" w:rsidRDefault="00165323">
      <w:pPr>
        <w:pStyle w:val="BodyText"/>
        <w:rPr>
          <w:b/>
        </w:rPr>
      </w:pPr>
    </w:p>
    <w:p w14:paraId="3DF9F8CF" w14:textId="5E43CCEE" w:rsidR="00165323" w:rsidRDefault="005426E6">
      <w:pPr>
        <w:pStyle w:val="BodyText"/>
        <w:spacing w:before="0"/>
        <w:ind w:left="119" w:right="228" w:firstLine="720"/>
        <w:jc w:val="both"/>
      </w:pPr>
      <w:r>
        <w:t>The Committee shall have the following responsibilities with respect to the Company’s incentive compensation and equity-based plans:</w:t>
      </w:r>
    </w:p>
    <w:p w14:paraId="39CAE043" w14:textId="77777777" w:rsidR="00165323" w:rsidRDefault="00165323">
      <w:pPr>
        <w:pStyle w:val="BodyText"/>
      </w:pPr>
    </w:p>
    <w:p w14:paraId="370A339F" w14:textId="54AC4D5C" w:rsidR="00165323" w:rsidRDefault="005426E6">
      <w:pPr>
        <w:pStyle w:val="ListParagraph"/>
        <w:numPr>
          <w:ilvl w:val="0"/>
          <w:numId w:val="2"/>
        </w:numPr>
        <w:tabs>
          <w:tab w:val="left" w:pos="1560"/>
        </w:tabs>
        <w:ind w:right="102" w:firstLine="720"/>
        <w:rPr>
          <w:sz w:val="24"/>
          <w:szCs w:val="24"/>
        </w:rPr>
      </w:pPr>
      <w:bookmarkStart w:id="23" w:name="(a)_To_review_at_least_annually_the_goal"/>
      <w:bookmarkEnd w:id="23"/>
      <w:r>
        <w:rPr>
          <w:sz w:val="24"/>
          <w:szCs w:val="24"/>
        </w:rPr>
        <w:t xml:space="preserve">To review at least annually the goals, objectives and terms of the Company’s incentive compensation and equity-based </w:t>
      </w:r>
      <w:r w:rsidR="009822CF">
        <w:rPr>
          <w:sz w:val="24"/>
          <w:szCs w:val="24"/>
        </w:rPr>
        <w:t>plans and</w:t>
      </w:r>
      <w:r>
        <w:rPr>
          <w:sz w:val="24"/>
          <w:szCs w:val="24"/>
        </w:rPr>
        <w:t xml:space="preserve"> recommend that the Board amend any or all of these goals, objectives or terms if the Committee deems it appropriate.</w:t>
      </w:r>
    </w:p>
    <w:p w14:paraId="1D6B26F7" w14:textId="77777777" w:rsidR="00165323" w:rsidRDefault="00165323" w:rsidP="009822CF">
      <w:pPr>
        <w:pStyle w:val="ListParagraph"/>
        <w:tabs>
          <w:tab w:val="left" w:pos="1560"/>
        </w:tabs>
        <w:ind w:left="839" w:right="102" w:firstLine="0"/>
        <w:jc w:val="left"/>
        <w:rPr>
          <w:sz w:val="24"/>
          <w:szCs w:val="24"/>
        </w:rPr>
      </w:pPr>
    </w:p>
    <w:p w14:paraId="32C2A128" w14:textId="158368C9" w:rsidR="00165323" w:rsidRDefault="005426E6">
      <w:pPr>
        <w:pStyle w:val="ListParagraph"/>
        <w:numPr>
          <w:ilvl w:val="0"/>
          <w:numId w:val="2"/>
        </w:numPr>
        <w:tabs>
          <w:tab w:val="left" w:pos="1560"/>
        </w:tabs>
        <w:ind w:right="102" w:firstLine="720"/>
        <w:rPr>
          <w:sz w:val="24"/>
          <w:szCs w:val="24"/>
        </w:rPr>
      </w:pPr>
      <w:r>
        <w:rPr>
          <w:sz w:val="24"/>
          <w:szCs w:val="24"/>
        </w:rPr>
        <w:t>To review and make recommendations to the Board with respect to the Company’s policies and practices related to the timing of incentive compensation and equity-based awards.</w:t>
      </w:r>
    </w:p>
    <w:p w14:paraId="6FAD43AF" w14:textId="77777777" w:rsidR="00165323" w:rsidRDefault="00165323">
      <w:pPr>
        <w:pStyle w:val="BodyText"/>
      </w:pPr>
    </w:p>
    <w:p w14:paraId="650A8DB4" w14:textId="7868EAA0" w:rsidR="00165323" w:rsidRDefault="005426E6">
      <w:pPr>
        <w:pStyle w:val="ListParagraph"/>
        <w:numPr>
          <w:ilvl w:val="0"/>
          <w:numId w:val="2"/>
        </w:numPr>
        <w:tabs>
          <w:tab w:val="left" w:pos="1560"/>
        </w:tabs>
        <w:ind w:right="104" w:firstLine="720"/>
        <w:rPr>
          <w:sz w:val="24"/>
          <w:szCs w:val="24"/>
        </w:rPr>
      </w:pPr>
      <w:r>
        <w:rPr>
          <w:sz w:val="24"/>
          <w:szCs w:val="24"/>
        </w:rPr>
        <w:t>To perform such duties and responsibilities as may be assigned to the Board or the Committee under the terms of any incentive compensation, equity-based plan, or otherwise.</w:t>
      </w:r>
    </w:p>
    <w:p w14:paraId="60EB196A" w14:textId="77777777" w:rsidR="00165323" w:rsidRDefault="00165323">
      <w:pPr>
        <w:pStyle w:val="BodyText"/>
      </w:pPr>
    </w:p>
    <w:p w14:paraId="363AEE58" w14:textId="77777777" w:rsidR="00165323" w:rsidRDefault="005426E6">
      <w:pPr>
        <w:pStyle w:val="Heading2"/>
        <w:numPr>
          <w:ilvl w:val="1"/>
          <w:numId w:val="4"/>
        </w:numPr>
        <w:tabs>
          <w:tab w:val="left" w:pos="1200"/>
        </w:tabs>
        <w:ind w:hanging="361"/>
      </w:pPr>
      <w:bookmarkStart w:id="24" w:name="C._Other_Compensation_and_Employee_Benef"/>
      <w:bookmarkEnd w:id="24"/>
      <w:r>
        <w:t>Other Compensation and Employee Benefit Plans</w:t>
      </w:r>
    </w:p>
    <w:p w14:paraId="0DD682F5" w14:textId="77777777" w:rsidR="00165323" w:rsidRDefault="00165323">
      <w:pPr>
        <w:pStyle w:val="BodyText"/>
        <w:rPr>
          <w:b/>
        </w:rPr>
      </w:pPr>
    </w:p>
    <w:p w14:paraId="796AB470" w14:textId="2D73A9E9" w:rsidR="00165323" w:rsidRDefault="005426E6">
      <w:pPr>
        <w:pStyle w:val="ListParagraph"/>
        <w:numPr>
          <w:ilvl w:val="0"/>
          <w:numId w:val="1"/>
        </w:numPr>
        <w:tabs>
          <w:tab w:val="left" w:pos="1560"/>
        </w:tabs>
        <w:ind w:right="102" w:firstLine="720"/>
        <w:rPr>
          <w:sz w:val="24"/>
          <w:szCs w:val="24"/>
        </w:rPr>
      </w:pPr>
      <w:bookmarkStart w:id="25" w:name="(a)_To_review_periodically,_and_at_least"/>
      <w:bookmarkEnd w:id="25"/>
      <w:r>
        <w:rPr>
          <w:sz w:val="24"/>
          <w:szCs w:val="24"/>
        </w:rPr>
        <w:t>To review periodically, and at least every three years, the goals, objectives and terms of the Company’s general compensation plans and other employee benefit plans, and recommend that the Board amend any or all of these goals, objectives or terms if the Committee deems it appropriate.</w:t>
      </w:r>
    </w:p>
    <w:p w14:paraId="0D9918D0" w14:textId="77777777" w:rsidR="00165323" w:rsidRDefault="00165323">
      <w:pPr>
        <w:pStyle w:val="BodyText"/>
      </w:pPr>
    </w:p>
    <w:p w14:paraId="45599B3C" w14:textId="77777777" w:rsidR="00165323" w:rsidRDefault="005426E6">
      <w:pPr>
        <w:pStyle w:val="ListParagraph"/>
        <w:numPr>
          <w:ilvl w:val="0"/>
          <w:numId w:val="1"/>
        </w:numPr>
        <w:tabs>
          <w:tab w:val="left" w:pos="1560"/>
        </w:tabs>
        <w:spacing w:before="1"/>
        <w:ind w:right="104" w:firstLine="720"/>
        <w:rPr>
          <w:sz w:val="24"/>
          <w:szCs w:val="24"/>
        </w:rPr>
      </w:pPr>
      <w:bookmarkStart w:id="26" w:name="(b)_To_perform_such_duties_and_responsib"/>
      <w:bookmarkEnd w:id="26"/>
      <w:r>
        <w:rPr>
          <w:sz w:val="24"/>
          <w:szCs w:val="24"/>
        </w:rPr>
        <w:t>To perform such duties and responsibilities as may be assigned to the Board or the Committee under the terms of its general compensation plans and other employee benefit plans.</w:t>
      </w:r>
    </w:p>
    <w:p w14:paraId="19A52511" w14:textId="77777777" w:rsidR="00165323" w:rsidRDefault="00165323">
      <w:pPr>
        <w:pStyle w:val="BodyText"/>
        <w:spacing w:before="9"/>
      </w:pPr>
    </w:p>
    <w:p w14:paraId="6F8BAF9A" w14:textId="77777777" w:rsidR="00165323" w:rsidRDefault="005426E6">
      <w:pPr>
        <w:pStyle w:val="ListParagraph"/>
        <w:numPr>
          <w:ilvl w:val="0"/>
          <w:numId w:val="1"/>
        </w:numPr>
        <w:tabs>
          <w:tab w:val="left" w:pos="1560"/>
        </w:tabs>
        <w:spacing w:before="1"/>
        <w:ind w:right="103" w:firstLine="720"/>
        <w:rPr>
          <w:sz w:val="24"/>
          <w:szCs w:val="24"/>
        </w:rPr>
      </w:pPr>
      <w:bookmarkStart w:id="27" w:name="(c)_To_determine,_annually,_and_monitor_"/>
      <w:bookmarkEnd w:id="27"/>
      <w:r>
        <w:rPr>
          <w:sz w:val="24"/>
          <w:szCs w:val="24"/>
        </w:rPr>
        <w:t>To determine, annually, and monitor compliance with stock ownership guidelines applicable to the Company’s Chief Executive Officer and other executive officers.</w:t>
      </w:r>
    </w:p>
    <w:p w14:paraId="5CDC8A26" w14:textId="77777777" w:rsidR="00165323" w:rsidRDefault="00165323">
      <w:pPr>
        <w:pStyle w:val="BodyText"/>
        <w:spacing w:before="9"/>
      </w:pPr>
    </w:p>
    <w:p w14:paraId="13ACC087" w14:textId="77777777" w:rsidR="00165323" w:rsidRDefault="005426E6">
      <w:pPr>
        <w:pStyle w:val="ListParagraph"/>
        <w:numPr>
          <w:ilvl w:val="0"/>
          <w:numId w:val="1"/>
        </w:numPr>
        <w:tabs>
          <w:tab w:val="left" w:pos="1560"/>
        </w:tabs>
        <w:spacing w:before="1"/>
        <w:ind w:right="100" w:firstLine="720"/>
        <w:rPr>
          <w:sz w:val="24"/>
          <w:szCs w:val="24"/>
        </w:rPr>
      </w:pPr>
      <w:bookmarkStart w:id="28" w:name="(d)_To_review_annually_and_oversee_matte"/>
      <w:bookmarkEnd w:id="28"/>
      <w:r>
        <w:rPr>
          <w:sz w:val="24"/>
          <w:szCs w:val="24"/>
        </w:rPr>
        <w:t>To review annually and oversee matters related to human capital management, including, but not limited to, talent acquisition, development, retention, and diversity and inclusion, and oversee risks related to such matters.</w:t>
      </w:r>
    </w:p>
    <w:p w14:paraId="6562C405" w14:textId="77777777" w:rsidR="00165323" w:rsidRDefault="00165323">
      <w:pPr>
        <w:pStyle w:val="BodyText"/>
      </w:pPr>
    </w:p>
    <w:p w14:paraId="1906F0E0" w14:textId="77777777" w:rsidR="00165323" w:rsidRDefault="005426E6">
      <w:pPr>
        <w:pStyle w:val="Heading2"/>
        <w:numPr>
          <w:ilvl w:val="1"/>
          <w:numId w:val="4"/>
        </w:numPr>
        <w:tabs>
          <w:tab w:val="left" w:pos="1559"/>
          <w:tab w:val="left" w:pos="1560"/>
        </w:tabs>
        <w:ind w:left="1559" w:hanging="721"/>
      </w:pPr>
      <w:bookmarkStart w:id="29" w:name="D._Reports_to_the_Board"/>
      <w:bookmarkEnd w:id="29"/>
      <w:r>
        <w:t>Reports to the Board</w:t>
      </w:r>
    </w:p>
    <w:p w14:paraId="3A537AEC" w14:textId="77777777" w:rsidR="00165323" w:rsidRDefault="00165323">
      <w:pPr>
        <w:pStyle w:val="BodyText"/>
        <w:rPr>
          <w:b/>
        </w:rPr>
      </w:pPr>
    </w:p>
    <w:p w14:paraId="2F9F7665" w14:textId="77777777" w:rsidR="00165323" w:rsidRDefault="005426E6">
      <w:pPr>
        <w:pStyle w:val="BodyText"/>
        <w:spacing w:before="0"/>
        <w:ind w:left="119" w:right="99" w:firstLine="720"/>
        <w:jc w:val="both"/>
      </w:pPr>
      <w:r>
        <w:t>The Committee shall report regularly to the Board (orally or in writing): (i) following meetings of the Committee, (ii) with respect to such other matters as are relevant to the Committee’s discharge of its responsibilities and (iii) with respect to such recommendations as the Committee may deem appropriate.</w:t>
      </w:r>
    </w:p>
    <w:p w14:paraId="138DBF2F" w14:textId="77777777" w:rsidR="00165323" w:rsidRDefault="00165323">
      <w:pPr>
        <w:pStyle w:val="BodyText"/>
        <w:spacing w:before="0"/>
        <w:ind w:left="119" w:right="99" w:firstLine="720"/>
        <w:jc w:val="both"/>
      </w:pPr>
    </w:p>
    <w:p w14:paraId="418906FA" w14:textId="77777777" w:rsidR="009822CF" w:rsidRDefault="009822CF">
      <w:pPr>
        <w:pStyle w:val="BodyText"/>
        <w:spacing w:before="0"/>
        <w:ind w:left="119" w:right="99" w:firstLine="720"/>
        <w:jc w:val="both"/>
      </w:pPr>
    </w:p>
    <w:p w14:paraId="71043B4D" w14:textId="77777777" w:rsidR="00B37F0B" w:rsidRDefault="00B37F0B">
      <w:pPr>
        <w:pStyle w:val="BodyText"/>
        <w:spacing w:before="0"/>
        <w:ind w:left="119" w:right="99" w:firstLine="720"/>
        <w:jc w:val="both"/>
      </w:pPr>
    </w:p>
    <w:p w14:paraId="78A001FD" w14:textId="77777777" w:rsidR="00B37F0B" w:rsidRDefault="00B37F0B">
      <w:pPr>
        <w:pStyle w:val="BodyText"/>
        <w:spacing w:before="0"/>
        <w:ind w:left="119" w:right="99" w:firstLine="720"/>
        <w:jc w:val="both"/>
      </w:pPr>
    </w:p>
    <w:p w14:paraId="3FEC3448" w14:textId="77777777" w:rsidR="00165323" w:rsidRDefault="005426E6">
      <w:pPr>
        <w:pStyle w:val="Heading1"/>
        <w:numPr>
          <w:ilvl w:val="0"/>
          <w:numId w:val="4"/>
        </w:numPr>
        <w:tabs>
          <w:tab w:val="left" w:pos="839"/>
          <w:tab w:val="left" w:pos="840"/>
        </w:tabs>
        <w:spacing w:before="79"/>
        <w:ind w:hanging="721"/>
      </w:pPr>
      <w:bookmarkStart w:id="30" w:name="V._EVALUATION_OF_THE_COMMITTEE"/>
      <w:bookmarkEnd w:id="30"/>
      <w:r>
        <w:t>EVALUATION OF THE COMMITTEE</w:t>
      </w:r>
    </w:p>
    <w:p w14:paraId="639E8F90" w14:textId="77777777" w:rsidR="00165323" w:rsidRDefault="00165323">
      <w:pPr>
        <w:pStyle w:val="BodyText"/>
        <w:rPr>
          <w:b/>
        </w:rPr>
      </w:pPr>
    </w:p>
    <w:p w14:paraId="54F6663F" w14:textId="77777777" w:rsidR="00165323" w:rsidRDefault="005426E6">
      <w:pPr>
        <w:pStyle w:val="BodyText"/>
        <w:spacing w:before="0"/>
        <w:ind w:left="119" w:right="222" w:firstLine="720"/>
        <w:jc w:val="both"/>
      </w:pPr>
      <w:r>
        <w:t>The Committee shall, on an annual basis, evaluate its performance under this Charter. In conducting this review, the Committee shall evaluate whether this Charter appropriately addresses the matters that are or should be within its scope.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w:t>
      </w:r>
    </w:p>
    <w:p w14:paraId="0BBD5E0D" w14:textId="77777777" w:rsidR="00165323" w:rsidRDefault="00165323">
      <w:pPr>
        <w:pStyle w:val="BodyText"/>
      </w:pPr>
    </w:p>
    <w:p w14:paraId="7ACDC00F" w14:textId="77777777" w:rsidR="00165323" w:rsidRDefault="005426E6">
      <w:pPr>
        <w:pStyle w:val="BodyText"/>
        <w:spacing w:before="0"/>
        <w:ind w:left="119" w:right="225" w:firstLine="720"/>
        <w:jc w:val="both"/>
      </w:pPr>
      <w:r>
        <w:t>The Committee shall deliver to the Board a report setting forth the results of its evaluation, including any recommended amendments to this Charter and any recommended changes to the Company’s or the Board’s policies or procedures.</w:t>
      </w:r>
    </w:p>
    <w:p w14:paraId="424DE726" w14:textId="77777777" w:rsidR="00165323" w:rsidRDefault="00165323">
      <w:pPr>
        <w:pStyle w:val="BodyText"/>
      </w:pPr>
    </w:p>
    <w:p w14:paraId="41A985A1" w14:textId="77777777" w:rsidR="00165323" w:rsidRDefault="005426E6">
      <w:pPr>
        <w:pStyle w:val="Heading1"/>
        <w:numPr>
          <w:ilvl w:val="0"/>
          <w:numId w:val="4"/>
        </w:numPr>
        <w:tabs>
          <w:tab w:val="left" w:pos="839"/>
          <w:tab w:val="left" w:pos="840"/>
        </w:tabs>
        <w:ind w:hanging="721"/>
      </w:pPr>
      <w:bookmarkStart w:id="31" w:name="VI._INVESTIGATIONS_AND_STUDIES;_OUTSIDE_"/>
      <w:bookmarkEnd w:id="31"/>
      <w:r>
        <w:t>INVESTIGATIONS AND STUDIES; OUTSIDE ADVISORS</w:t>
      </w:r>
    </w:p>
    <w:p w14:paraId="1F784FC0" w14:textId="77777777" w:rsidR="00165323" w:rsidRDefault="00165323">
      <w:pPr>
        <w:pStyle w:val="BodyText"/>
        <w:rPr>
          <w:b/>
        </w:rPr>
      </w:pPr>
    </w:p>
    <w:p w14:paraId="65983F8E" w14:textId="77777777" w:rsidR="00165323" w:rsidRDefault="005426E6">
      <w:pPr>
        <w:pStyle w:val="BodyText"/>
        <w:spacing w:before="0"/>
        <w:ind w:left="119" w:right="219" w:firstLine="720"/>
        <w:jc w:val="both"/>
      </w:pPr>
      <w:r>
        <w:t>The Committee may conduct or authorize investigations into or studies of matters within the Committee’s scope of responsibilities, and shall have the authority, in its sole discretion, to retain or obtain advice of a compensation consultant, independent legal counsel or other advisor. The Committee shall be directly responsible for the appointment, compensation and oversight of the work of any compensation consultant, independent legal counsel and other advisor retained by the Committee, and the Company shall provide appropriate funding, as determined by the Committee, for payment of reasonable compensation to a compensation consultant, independent legal counsel or other advisor retained by the Committee. The Committee shall select a compensation consultant, legal counsel or other advisor only after taking into consideration the independence of such compensation consultant, legal counsel, or other advisor as required by law, regulation, listing standard or such other criteria as determined by the Committee.</w:t>
      </w:r>
    </w:p>
    <w:sectPr w:rsidR="00165323">
      <w:headerReference w:type="default" r:id="rId7"/>
      <w:footerReference w:type="default" r:id="rId8"/>
      <w:pgSz w:w="12240" w:h="15840"/>
      <w:pgMar w:top="1360" w:right="1220" w:bottom="1200" w:left="1220" w:header="0" w:footer="10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9F4A" w14:textId="77777777" w:rsidR="001D56C4" w:rsidRDefault="001D56C4">
      <w:r>
        <w:separator/>
      </w:r>
    </w:p>
  </w:endnote>
  <w:endnote w:type="continuationSeparator" w:id="0">
    <w:p w14:paraId="108EBD64" w14:textId="77777777" w:rsidR="001D56C4" w:rsidRDefault="001D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2C38" w14:textId="77777777" w:rsidR="00165323" w:rsidRDefault="005426E6">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63CCA76E" wp14:editId="3D40067F">
              <wp:simplePos x="0" y="0"/>
              <wp:positionH relativeFrom="page">
                <wp:posOffset>3817620</wp:posOffset>
              </wp:positionH>
              <wp:positionV relativeFrom="page">
                <wp:posOffset>9276080</wp:posOffset>
              </wp:positionV>
              <wp:extent cx="1651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3704" w14:textId="77777777" w:rsidR="00165323" w:rsidRDefault="005426E6">
                          <w:pPr>
                            <w:pStyle w:val="BodyTex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CA76E" id="_x0000_t202" coordsize="21600,21600" o:spt="202" path="m,l,21600r21600,l21600,xe">
              <v:stroke joinstyle="miter"/>
              <v:path gradientshapeok="t" o:connecttype="rect"/>
            </v:shapetype>
            <v:shape id="docshape2" o:spid="_x0000_s1026" type="#_x0000_t202" style="position:absolute;margin-left:300.6pt;margin-top:730.4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" filled="f" stroked="f">
              <v:textbox inset="0,0,0,0">
                <w:txbxContent>
                  <w:p w14:paraId="48AC3704" w14:textId="77777777" w:rsidR="00165323" w:rsidRDefault="005426E6">
                    <w:pPr>
                      <w:pStyle w:val="BodyTex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E230" w14:textId="77777777" w:rsidR="001D56C4" w:rsidRDefault="001D56C4">
      <w:r>
        <w:separator/>
      </w:r>
    </w:p>
  </w:footnote>
  <w:footnote w:type="continuationSeparator" w:id="0">
    <w:p w14:paraId="7630E495" w14:textId="77777777" w:rsidR="001D56C4" w:rsidRDefault="001D56C4">
      <w:r>
        <w:continuationSeparator/>
      </w:r>
    </w:p>
  </w:footnote>
  <w:footnote w:id="1">
    <w:p w14:paraId="5C460050" w14:textId="77777777" w:rsidR="00165323" w:rsidRDefault="005426E6">
      <w:pPr>
        <w:pStyle w:val="FootnoteText"/>
      </w:pPr>
      <w:r>
        <w:rPr>
          <w:rStyle w:val="FootnoteReference"/>
        </w:rPr>
        <w:footnoteRef/>
      </w:r>
      <w:r>
        <w:t xml:space="preserve"> For purposes of this Charter, “executive officers” means employees of the Company designated as “officers” of the Company by the Board or the Committee within the meaning of Rule 16a-1(f) of the Securities Exchange Act of 1934, as amended (the “Exchange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59E4" w14:textId="77777777" w:rsidR="00165323" w:rsidRDefault="00165323">
    <w:pPr>
      <w:pStyle w:val="Header"/>
    </w:pPr>
  </w:p>
  <w:p w14:paraId="017745BE" w14:textId="77777777" w:rsidR="00165323" w:rsidRDefault="0016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C2F"/>
    <w:multiLevelType w:val="hybridMultilevel"/>
    <w:tmpl w:val="BEB8231A"/>
    <w:lvl w:ilvl="0" w:tplc="06240512">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67C203C">
      <w:numFmt w:val="bullet"/>
      <w:lvlText w:val="•"/>
      <w:lvlJc w:val="left"/>
      <w:pPr>
        <w:ind w:left="1088" w:hanging="720"/>
      </w:pPr>
      <w:rPr>
        <w:rFonts w:hint="default"/>
        <w:lang w:val="en-US" w:eastAsia="en-US" w:bidi="ar-SA"/>
      </w:rPr>
    </w:lvl>
    <w:lvl w:ilvl="2" w:tplc="1E8053F0">
      <w:numFmt w:val="bullet"/>
      <w:lvlText w:val="•"/>
      <w:lvlJc w:val="left"/>
      <w:pPr>
        <w:ind w:left="2056" w:hanging="720"/>
      </w:pPr>
      <w:rPr>
        <w:rFonts w:hint="default"/>
        <w:lang w:val="en-US" w:eastAsia="en-US" w:bidi="ar-SA"/>
      </w:rPr>
    </w:lvl>
    <w:lvl w:ilvl="3" w:tplc="841E1060">
      <w:numFmt w:val="bullet"/>
      <w:lvlText w:val="•"/>
      <w:lvlJc w:val="left"/>
      <w:pPr>
        <w:ind w:left="3024" w:hanging="720"/>
      </w:pPr>
      <w:rPr>
        <w:rFonts w:hint="default"/>
        <w:lang w:val="en-US" w:eastAsia="en-US" w:bidi="ar-SA"/>
      </w:rPr>
    </w:lvl>
    <w:lvl w:ilvl="4" w:tplc="7BB2DA62">
      <w:numFmt w:val="bullet"/>
      <w:lvlText w:val="•"/>
      <w:lvlJc w:val="left"/>
      <w:pPr>
        <w:ind w:left="3992" w:hanging="720"/>
      </w:pPr>
      <w:rPr>
        <w:rFonts w:hint="default"/>
        <w:lang w:val="en-US" w:eastAsia="en-US" w:bidi="ar-SA"/>
      </w:rPr>
    </w:lvl>
    <w:lvl w:ilvl="5" w:tplc="9D86BB6A">
      <w:numFmt w:val="bullet"/>
      <w:lvlText w:val="•"/>
      <w:lvlJc w:val="left"/>
      <w:pPr>
        <w:ind w:left="4960" w:hanging="720"/>
      </w:pPr>
      <w:rPr>
        <w:rFonts w:hint="default"/>
        <w:lang w:val="en-US" w:eastAsia="en-US" w:bidi="ar-SA"/>
      </w:rPr>
    </w:lvl>
    <w:lvl w:ilvl="6" w:tplc="8AA42BEA">
      <w:numFmt w:val="bullet"/>
      <w:lvlText w:val="•"/>
      <w:lvlJc w:val="left"/>
      <w:pPr>
        <w:ind w:left="5928" w:hanging="720"/>
      </w:pPr>
      <w:rPr>
        <w:rFonts w:hint="default"/>
        <w:lang w:val="en-US" w:eastAsia="en-US" w:bidi="ar-SA"/>
      </w:rPr>
    </w:lvl>
    <w:lvl w:ilvl="7" w:tplc="2B1C14DE">
      <w:numFmt w:val="bullet"/>
      <w:lvlText w:val="•"/>
      <w:lvlJc w:val="left"/>
      <w:pPr>
        <w:ind w:left="6896" w:hanging="720"/>
      </w:pPr>
      <w:rPr>
        <w:rFonts w:hint="default"/>
        <w:lang w:val="en-US" w:eastAsia="en-US" w:bidi="ar-SA"/>
      </w:rPr>
    </w:lvl>
    <w:lvl w:ilvl="8" w:tplc="CD6E7BAA">
      <w:numFmt w:val="bullet"/>
      <w:lvlText w:val="•"/>
      <w:lvlJc w:val="left"/>
      <w:pPr>
        <w:ind w:left="7864" w:hanging="720"/>
      </w:pPr>
      <w:rPr>
        <w:rFonts w:hint="default"/>
        <w:lang w:val="en-US" w:eastAsia="en-US" w:bidi="ar-SA"/>
      </w:rPr>
    </w:lvl>
  </w:abstractNum>
  <w:abstractNum w:abstractNumId="1" w15:restartNumberingAfterBreak="0">
    <w:nsid w:val="191E497E"/>
    <w:multiLevelType w:val="hybridMultilevel"/>
    <w:tmpl w:val="79089DFE"/>
    <w:lvl w:ilvl="0" w:tplc="868409B4">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256209C">
      <w:numFmt w:val="bullet"/>
      <w:lvlText w:val="•"/>
      <w:lvlJc w:val="left"/>
      <w:pPr>
        <w:ind w:left="1088" w:hanging="720"/>
      </w:pPr>
      <w:rPr>
        <w:rFonts w:hint="default"/>
        <w:lang w:val="en-US" w:eastAsia="en-US" w:bidi="ar-SA"/>
      </w:rPr>
    </w:lvl>
    <w:lvl w:ilvl="2" w:tplc="69789352">
      <w:numFmt w:val="bullet"/>
      <w:lvlText w:val="•"/>
      <w:lvlJc w:val="left"/>
      <w:pPr>
        <w:ind w:left="2056" w:hanging="720"/>
      </w:pPr>
      <w:rPr>
        <w:rFonts w:hint="default"/>
        <w:lang w:val="en-US" w:eastAsia="en-US" w:bidi="ar-SA"/>
      </w:rPr>
    </w:lvl>
    <w:lvl w:ilvl="3" w:tplc="3E6065A4">
      <w:numFmt w:val="bullet"/>
      <w:lvlText w:val="•"/>
      <w:lvlJc w:val="left"/>
      <w:pPr>
        <w:ind w:left="3024" w:hanging="720"/>
      </w:pPr>
      <w:rPr>
        <w:rFonts w:hint="default"/>
        <w:lang w:val="en-US" w:eastAsia="en-US" w:bidi="ar-SA"/>
      </w:rPr>
    </w:lvl>
    <w:lvl w:ilvl="4" w:tplc="C3C2734A">
      <w:numFmt w:val="bullet"/>
      <w:lvlText w:val="•"/>
      <w:lvlJc w:val="left"/>
      <w:pPr>
        <w:ind w:left="3992" w:hanging="720"/>
      </w:pPr>
      <w:rPr>
        <w:rFonts w:hint="default"/>
        <w:lang w:val="en-US" w:eastAsia="en-US" w:bidi="ar-SA"/>
      </w:rPr>
    </w:lvl>
    <w:lvl w:ilvl="5" w:tplc="6BC861FC">
      <w:numFmt w:val="bullet"/>
      <w:lvlText w:val="•"/>
      <w:lvlJc w:val="left"/>
      <w:pPr>
        <w:ind w:left="4960" w:hanging="720"/>
      </w:pPr>
      <w:rPr>
        <w:rFonts w:hint="default"/>
        <w:lang w:val="en-US" w:eastAsia="en-US" w:bidi="ar-SA"/>
      </w:rPr>
    </w:lvl>
    <w:lvl w:ilvl="6" w:tplc="8BA0FB9C">
      <w:numFmt w:val="bullet"/>
      <w:lvlText w:val="•"/>
      <w:lvlJc w:val="left"/>
      <w:pPr>
        <w:ind w:left="5928" w:hanging="720"/>
      </w:pPr>
      <w:rPr>
        <w:rFonts w:hint="default"/>
        <w:lang w:val="en-US" w:eastAsia="en-US" w:bidi="ar-SA"/>
      </w:rPr>
    </w:lvl>
    <w:lvl w:ilvl="7" w:tplc="1B9462EC">
      <w:numFmt w:val="bullet"/>
      <w:lvlText w:val="•"/>
      <w:lvlJc w:val="left"/>
      <w:pPr>
        <w:ind w:left="6896" w:hanging="720"/>
      </w:pPr>
      <w:rPr>
        <w:rFonts w:hint="default"/>
        <w:lang w:val="en-US" w:eastAsia="en-US" w:bidi="ar-SA"/>
      </w:rPr>
    </w:lvl>
    <w:lvl w:ilvl="8" w:tplc="5818F228">
      <w:numFmt w:val="bullet"/>
      <w:lvlText w:val="•"/>
      <w:lvlJc w:val="left"/>
      <w:pPr>
        <w:ind w:left="7864" w:hanging="720"/>
      </w:pPr>
      <w:rPr>
        <w:rFonts w:hint="default"/>
        <w:lang w:val="en-US" w:eastAsia="en-US" w:bidi="ar-SA"/>
      </w:rPr>
    </w:lvl>
  </w:abstractNum>
  <w:abstractNum w:abstractNumId="2" w15:restartNumberingAfterBreak="0">
    <w:nsid w:val="547C6918"/>
    <w:multiLevelType w:val="hybridMultilevel"/>
    <w:tmpl w:val="29A6484A"/>
    <w:lvl w:ilvl="0" w:tplc="C6040BD0">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05006E4">
      <w:numFmt w:val="bullet"/>
      <w:lvlText w:val="•"/>
      <w:lvlJc w:val="left"/>
      <w:pPr>
        <w:ind w:left="1088" w:hanging="720"/>
      </w:pPr>
      <w:rPr>
        <w:rFonts w:hint="default"/>
        <w:lang w:val="en-US" w:eastAsia="en-US" w:bidi="ar-SA"/>
      </w:rPr>
    </w:lvl>
    <w:lvl w:ilvl="2" w:tplc="C9A6937C">
      <w:numFmt w:val="bullet"/>
      <w:lvlText w:val="•"/>
      <w:lvlJc w:val="left"/>
      <w:pPr>
        <w:ind w:left="2056" w:hanging="720"/>
      </w:pPr>
      <w:rPr>
        <w:rFonts w:hint="default"/>
        <w:lang w:val="en-US" w:eastAsia="en-US" w:bidi="ar-SA"/>
      </w:rPr>
    </w:lvl>
    <w:lvl w:ilvl="3" w:tplc="8EA6F7E2">
      <w:numFmt w:val="bullet"/>
      <w:lvlText w:val="•"/>
      <w:lvlJc w:val="left"/>
      <w:pPr>
        <w:ind w:left="3024" w:hanging="720"/>
      </w:pPr>
      <w:rPr>
        <w:rFonts w:hint="default"/>
        <w:lang w:val="en-US" w:eastAsia="en-US" w:bidi="ar-SA"/>
      </w:rPr>
    </w:lvl>
    <w:lvl w:ilvl="4" w:tplc="55DE818C">
      <w:numFmt w:val="bullet"/>
      <w:lvlText w:val="•"/>
      <w:lvlJc w:val="left"/>
      <w:pPr>
        <w:ind w:left="3992" w:hanging="720"/>
      </w:pPr>
      <w:rPr>
        <w:rFonts w:hint="default"/>
        <w:lang w:val="en-US" w:eastAsia="en-US" w:bidi="ar-SA"/>
      </w:rPr>
    </w:lvl>
    <w:lvl w:ilvl="5" w:tplc="66AAF78C">
      <w:numFmt w:val="bullet"/>
      <w:lvlText w:val="•"/>
      <w:lvlJc w:val="left"/>
      <w:pPr>
        <w:ind w:left="4960" w:hanging="720"/>
      </w:pPr>
      <w:rPr>
        <w:rFonts w:hint="default"/>
        <w:lang w:val="en-US" w:eastAsia="en-US" w:bidi="ar-SA"/>
      </w:rPr>
    </w:lvl>
    <w:lvl w:ilvl="6" w:tplc="5E369D64">
      <w:numFmt w:val="bullet"/>
      <w:lvlText w:val="•"/>
      <w:lvlJc w:val="left"/>
      <w:pPr>
        <w:ind w:left="5928" w:hanging="720"/>
      </w:pPr>
      <w:rPr>
        <w:rFonts w:hint="default"/>
        <w:lang w:val="en-US" w:eastAsia="en-US" w:bidi="ar-SA"/>
      </w:rPr>
    </w:lvl>
    <w:lvl w:ilvl="7" w:tplc="B5C60E8E">
      <w:numFmt w:val="bullet"/>
      <w:lvlText w:val="•"/>
      <w:lvlJc w:val="left"/>
      <w:pPr>
        <w:ind w:left="6896" w:hanging="720"/>
      </w:pPr>
      <w:rPr>
        <w:rFonts w:hint="default"/>
        <w:lang w:val="en-US" w:eastAsia="en-US" w:bidi="ar-SA"/>
      </w:rPr>
    </w:lvl>
    <w:lvl w:ilvl="8" w:tplc="CBDE97C2">
      <w:numFmt w:val="bullet"/>
      <w:lvlText w:val="•"/>
      <w:lvlJc w:val="left"/>
      <w:pPr>
        <w:ind w:left="7864" w:hanging="720"/>
      </w:pPr>
      <w:rPr>
        <w:rFonts w:hint="default"/>
        <w:lang w:val="en-US" w:eastAsia="en-US" w:bidi="ar-SA"/>
      </w:rPr>
    </w:lvl>
  </w:abstractNum>
  <w:abstractNum w:abstractNumId="3" w15:restartNumberingAfterBreak="0">
    <w:nsid w:val="59083E31"/>
    <w:multiLevelType w:val="hybridMultilevel"/>
    <w:tmpl w:val="4634AE18"/>
    <w:lvl w:ilvl="0" w:tplc="611AB282">
      <w:start w:val="1"/>
      <w:numFmt w:val="upperRoman"/>
      <w:lvlText w:val="%1."/>
      <w:lvlJc w:val="left"/>
      <w:pPr>
        <w:ind w:left="839" w:hanging="720"/>
      </w:pPr>
      <w:rPr>
        <w:rFonts w:ascii="Times New Roman" w:eastAsia="Times New Roman" w:hAnsi="Times New Roman" w:cs="Times New Roman" w:hint="default"/>
        <w:b/>
        <w:bCs/>
        <w:i w:val="0"/>
        <w:iCs w:val="0"/>
        <w:w w:val="100"/>
        <w:sz w:val="24"/>
        <w:szCs w:val="24"/>
        <w:lang w:val="en-US" w:eastAsia="en-US" w:bidi="ar-SA"/>
      </w:rPr>
    </w:lvl>
    <w:lvl w:ilvl="1" w:tplc="BBCAAC36">
      <w:start w:val="1"/>
      <w:numFmt w:val="upperLetter"/>
      <w:lvlText w:val="%2."/>
      <w:lvlJc w:val="left"/>
      <w:pPr>
        <w:ind w:left="1199" w:hanging="360"/>
      </w:pPr>
      <w:rPr>
        <w:rFonts w:ascii="Times New Roman" w:eastAsia="Times New Roman" w:hAnsi="Times New Roman" w:cs="Times New Roman" w:hint="default"/>
        <w:b/>
        <w:bCs/>
        <w:i w:val="0"/>
        <w:iCs w:val="0"/>
        <w:spacing w:val="-1"/>
        <w:w w:val="100"/>
        <w:sz w:val="24"/>
        <w:szCs w:val="24"/>
        <w:lang w:val="en-US" w:eastAsia="en-US" w:bidi="ar-SA"/>
      </w:rPr>
    </w:lvl>
    <w:lvl w:ilvl="2" w:tplc="219007B6">
      <w:numFmt w:val="bullet"/>
      <w:lvlText w:val="•"/>
      <w:lvlJc w:val="left"/>
      <w:pPr>
        <w:ind w:left="2155" w:hanging="360"/>
      </w:pPr>
      <w:rPr>
        <w:rFonts w:hint="default"/>
        <w:lang w:val="en-US" w:eastAsia="en-US" w:bidi="ar-SA"/>
      </w:rPr>
    </w:lvl>
    <w:lvl w:ilvl="3" w:tplc="3CECBCE8">
      <w:numFmt w:val="bullet"/>
      <w:lvlText w:val="•"/>
      <w:lvlJc w:val="left"/>
      <w:pPr>
        <w:ind w:left="3111" w:hanging="360"/>
      </w:pPr>
      <w:rPr>
        <w:rFonts w:hint="default"/>
        <w:lang w:val="en-US" w:eastAsia="en-US" w:bidi="ar-SA"/>
      </w:rPr>
    </w:lvl>
    <w:lvl w:ilvl="4" w:tplc="B1F6A652">
      <w:numFmt w:val="bullet"/>
      <w:lvlText w:val="•"/>
      <w:lvlJc w:val="left"/>
      <w:pPr>
        <w:ind w:left="4066" w:hanging="360"/>
      </w:pPr>
      <w:rPr>
        <w:rFonts w:hint="default"/>
        <w:lang w:val="en-US" w:eastAsia="en-US" w:bidi="ar-SA"/>
      </w:rPr>
    </w:lvl>
    <w:lvl w:ilvl="5" w:tplc="2ACAEF42">
      <w:numFmt w:val="bullet"/>
      <w:lvlText w:val="•"/>
      <w:lvlJc w:val="left"/>
      <w:pPr>
        <w:ind w:left="5022" w:hanging="360"/>
      </w:pPr>
      <w:rPr>
        <w:rFonts w:hint="default"/>
        <w:lang w:val="en-US" w:eastAsia="en-US" w:bidi="ar-SA"/>
      </w:rPr>
    </w:lvl>
    <w:lvl w:ilvl="6" w:tplc="64963342">
      <w:numFmt w:val="bullet"/>
      <w:lvlText w:val="•"/>
      <w:lvlJc w:val="left"/>
      <w:pPr>
        <w:ind w:left="5977" w:hanging="360"/>
      </w:pPr>
      <w:rPr>
        <w:rFonts w:hint="default"/>
        <w:lang w:val="en-US" w:eastAsia="en-US" w:bidi="ar-SA"/>
      </w:rPr>
    </w:lvl>
    <w:lvl w:ilvl="7" w:tplc="D20A7DA6">
      <w:numFmt w:val="bullet"/>
      <w:lvlText w:val="•"/>
      <w:lvlJc w:val="left"/>
      <w:pPr>
        <w:ind w:left="6933" w:hanging="360"/>
      </w:pPr>
      <w:rPr>
        <w:rFonts w:hint="default"/>
        <w:lang w:val="en-US" w:eastAsia="en-US" w:bidi="ar-SA"/>
      </w:rPr>
    </w:lvl>
    <w:lvl w:ilvl="8" w:tplc="D33AE360">
      <w:numFmt w:val="bullet"/>
      <w:lvlText w:val="•"/>
      <w:lvlJc w:val="left"/>
      <w:pPr>
        <w:ind w:left="7888" w:hanging="360"/>
      </w:pPr>
      <w:rPr>
        <w:rFonts w:hint="default"/>
        <w:lang w:val="en-US" w:eastAsia="en-US" w:bidi="ar-SA"/>
      </w:rPr>
    </w:lvl>
  </w:abstractNum>
  <w:num w:numId="1" w16cid:durableId="1003387629">
    <w:abstractNumId w:val="2"/>
  </w:num>
  <w:num w:numId="2" w16cid:durableId="1528525707">
    <w:abstractNumId w:val="0"/>
  </w:num>
  <w:num w:numId="3" w16cid:durableId="1943999073">
    <w:abstractNumId w:val="1"/>
  </w:num>
  <w:num w:numId="4" w16cid:durableId="143216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23"/>
    <w:rsid w:val="000C67E0"/>
    <w:rsid w:val="00165323"/>
    <w:rsid w:val="001D56C4"/>
    <w:rsid w:val="002D3871"/>
    <w:rsid w:val="00402A4B"/>
    <w:rsid w:val="0042219B"/>
    <w:rsid w:val="00463EB9"/>
    <w:rsid w:val="004B0B9F"/>
    <w:rsid w:val="004D5498"/>
    <w:rsid w:val="005426E6"/>
    <w:rsid w:val="006468CB"/>
    <w:rsid w:val="006B1600"/>
    <w:rsid w:val="006E0121"/>
    <w:rsid w:val="007031FA"/>
    <w:rsid w:val="00761A03"/>
    <w:rsid w:val="007F02C2"/>
    <w:rsid w:val="008B5E91"/>
    <w:rsid w:val="009822CF"/>
    <w:rsid w:val="00A22995"/>
    <w:rsid w:val="00B37F0B"/>
    <w:rsid w:val="00B73E6E"/>
    <w:rsid w:val="00C05EDF"/>
    <w:rsid w:val="00C30885"/>
    <w:rsid w:val="00C54C9E"/>
    <w:rsid w:val="00C66898"/>
    <w:rsid w:val="00C97BCA"/>
    <w:rsid w:val="00D50E88"/>
    <w:rsid w:val="00D652E7"/>
    <w:rsid w:val="00D91F22"/>
    <w:rsid w:val="00DA090B"/>
    <w:rsid w:val="00EC4026"/>
    <w:rsid w:val="00ED7BD8"/>
    <w:rsid w:val="00FB3576"/>
    <w:rsid w:val="00FF4C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D761"/>
  <w15:docId w15:val="{ECD3861F-1C2C-468F-829A-CF8DA700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21"/>
      <w:outlineLvl w:val="0"/>
    </w:pPr>
    <w:rPr>
      <w:b/>
      <w:bCs/>
      <w:sz w:val="24"/>
      <w:szCs w:val="24"/>
    </w:rPr>
  </w:style>
  <w:style w:type="paragraph" w:styleId="Heading2">
    <w:name w:val="heading 2"/>
    <w:basedOn w:val="Normal"/>
    <w:uiPriority w:val="9"/>
    <w:unhideWhenUsed/>
    <w:qFormat/>
    <w:pPr>
      <w:ind w:left="119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119"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Fekete</dc:creator>
  <cp:lastModifiedBy>Pablo Fekete</cp:lastModifiedBy>
  <cp:revision>6</cp:revision>
  <cp:lastPrinted>1900-01-01T05:00:00Z</cp:lastPrinted>
  <dcterms:created xsi:type="dcterms:W3CDTF">2024-11-25T14:01:00Z</dcterms:created>
  <dcterms:modified xsi:type="dcterms:W3CDTF">2025-11-24T12:25:00Z</dcterms:modified>
</cp:coreProperties>
</file>